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05" w:rsidRDefault="00C41A05" w:rsidP="00C41A05">
      <w:p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sz w:val="24"/>
          <w:szCs w:val="24"/>
        </w:rPr>
        <w:fldChar w:fldCharType="begin"/>
      </w:r>
      <w:r w:rsidRPr="006A588C">
        <w:rPr>
          <w:sz w:val="24"/>
          <w:szCs w:val="24"/>
        </w:rPr>
        <w:instrText xml:space="preserve"> HYPERLINK "http://www.eprussia.ru/epr/index.htm" </w:instrText>
      </w:r>
      <w:r w:rsidRPr="006A588C">
        <w:rPr>
          <w:sz w:val="24"/>
          <w:szCs w:val="24"/>
        </w:rPr>
        <w:fldChar w:fldCharType="separate"/>
      </w:r>
      <w:r w:rsidRPr="006A588C">
        <w:rPr>
          <w:rFonts w:ascii="Arial" w:eastAsia="Times New Roman" w:hAnsi="Arial" w:cs="Arial"/>
          <w:color w:val="1E1A1C"/>
          <w:sz w:val="24"/>
          <w:szCs w:val="24"/>
          <w:u w:val="single"/>
          <w:bdr w:val="none" w:sz="0" w:space="0" w:color="auto" w:frame="1"/>
          <w:lang w:eastAsia="ru-RU"/>
        </w:rPr>
        <w:t>Газета</w:t>
      </w:r>
      <w:r w:rsidRPr="006A588C">
        <w:rPr>
          <w:rFonts w:ascii="Arial" w:eastAsia="Times New Roman" w:hAnsi="Arial" w:cs="Arial"/>
          <w:color w:val="1E1A1C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6A588C">
          <w:rPr>
            <w:rFonts w:ascii="Arial" w:eastAsia="Times New Roman" w:hAnsi="Arial" w:cs="Arial"/>
            <w:color w:val="1E1A1C"/>
            <w:sz w:val="24"/>
            <w:szCs w:val="24"/>
            <w:u w:val="single"/>
            <w:bdr w:val="none" w:sz="0" w:space="0" w:color="auto" w:frame="1"/>
            <w:lang w:eastAsia="ru-RU"/>
          </w:rPr>
          <w:t>№ 13-14 (201-202) июль 2012 года</w:t>
        </w:r>
      </w:hyperlink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6A588C">
          <w:rPr>
            <w:rFonts w:ascii="Arial" w:eastAsia="Times New Roman" w:hAnsi="Arial" w:cs="Arial"/>
            <w:color w:val="1E1A1C"/>
            <w:sz w:val="24"/>
            <w:szCs w:val="24"/>
            <w:u w:val="single"/>
            <w:bdr w:val="none" w:sz="0" w:space="0" w:color="auto" w:frame="1"/>
            <w:lang w:eastAsia="ru-RU"/>
          </w:rPr>
          <w:t>Энергетика: тенденции и перспективы</w:t>
        </w:r>
      </w:hyperlink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C41A05" w:rsidRDefault="00C41A05" w:rsidP="00C41A05">
      <w:p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41A05" w:rsidRPr="00CB0B39" w:rsidRDefault="00C41A05" w:rsidP="00C41A05">
      <w:p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CB0B39">
        <w:rPr>
          <w:rFonts w:ascii="Arial" w:eastAsia="Times New Roman" w:hAnsi="Arial" w:cs="Arial"/>
          <w:color w:val="000000"/>
          <w:sz w:val="9"/>
          <w:szCs w:val="9"/>
          <w:lang w:eastAsia="ru-RU"/>
        </w:rPr>
        <w:t> </w:t>
      </w:r>
    </w:p>
    <w:p w:rsidR="00C41A05" w:rsidRPr="00CB0B39" w:rsidRDefault="00C41A05" w:rsidP="00C41A05">
      <w:p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9"/>
          <w:szCs w:val="9"/>
          <w:lang w:eastAsia="ru-RU"/>
        </w:rPr>
      </w:pPr>
      <w:r w:rsidRPr="00CB0B39">
        <w:rPr>
          <w:rFonts w:ascii="Arial" w:eastAsia="Times New Roman" w:hAnsi="Arial" w:cs="Arial"/>
          <w:color w:val="000000"/>
          <w:sz w:val="9"/>
          <w:szCs w:val="9"/>
          <w:lang w:eastAsia="ru-RU"/>
        </w:rPr>
        <w:t> </w:t>
      </w:r>
    </w:p>
    <w:p w:rsidR="00C41A05" w:rsidRPr="006A588C" w:rsidRDefault="00C41A05" w:rsidP="00C41A05">
      <w:pPr>
        <w:spacing w:after="0"/>
        <w:jc w:val="center"/>
        <w:textAlignment w:val="baseline"/>
        <w:outlineLvl w:val="1"/>
        <w:rPr>
          <w:rFonts w:ascii="Georgia" w:eastAsia="Times New Roman" w:hAnsi="Georgia" w:cs="Arial"/>
          <w:color w:val="1E1A1C"/>
          <w:kern w:val="36"/>
          <w:sz w:val="24"/>
          <w:szCs w:val="24"/>
          <w:lang w:eastAsia="ru-RU"/>
        </w:rPr>
      </w:pPr>
      <w:r w:rsidRPr="006A588C">
        <w:rPr>
          <w:rFonts w:ascii="Georgia" w:eastAsia="Times New Roman" w:hAnsi="Georgia" w:cs="Arial"/>
          <w:color w:val="1E1A1C"/>
          <w:kern w:val="36"/>
          <w:sz w:val="24"/>
          <w:szCs w:val="24"/>
          <w:lang w:eastAsia="ru-RU"/>
        </w:rPr>
        <w:t>Нельзя заставить модернизировать производство. Можно только заинтересовать</w:t>
      </w:r>
    </w:p>
    <w:p w:rsidR="00C41A05" w:rsidRPr="006A588C" w:rsidRDefault="00C41A05" w:rsidP="00C41A05">
      <w:pPr>
        <w:spacing w:after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1A05" w:rsidRPr="006A588C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47625" distB="47625" distL="95250" distR="95250" simplePos="0" relativeHeight="251659264" behindDoc="0" locked="0" layoutInCell="1" allowOverlap="0" wp14:anchorId="2549D1A4" wp14:editId="1BFC490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23950" cy="1724025"/>
            <wp:effectExtent l="19050" t="0" r="0" b="0"/>
            <wp:wrapSquare wrapText="bothSides"/>
            <wp:docPr id="3" name="Рисунок 3" descr="http://www.eprussia.ru/epr/201/images/14196_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prussia.ru/epr/201/images/14196_lef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588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Комитет по энергетике Государственной думы провел слушания «Российские интересы в мировой энергетике: участие российских компаний в международных энергетических проектах». </w:t>
      </w:r>
    </w:p>
    <w:p w:rsidR="00C41A05" w:rsidRPr="006A588C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1A05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Точки зрения на проблему оказались разными. </w:t>
      </w:r>
      <w:proofErr w:type="gram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Например, по мнению президента Института энергетики и финансов Владимира </w:t>
      </w:r>
      <w:proofErr w:type="spell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Фейгина</w:t>
      </w:r>
      <w:proofErr w:type="spell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 современном этапе, когда на мировых газовых рынках наблюдается избыточное предложение газа по сравнению со спросом на этот энергоноситель, страны-импортеры ведут линию на подрыв сложившейся традиционной системы ценообразования, основанной на привязке цены на газ к цене нефти и нефтепродуктов с учетом особенностей структуры замещаемых альтернативных топлив.</w:t>
      </w:r>
      <w:proofErr w:type="gram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Идут предложения о том, что необходимо переводить ценообразования на природный газ, обращающийся в мировой торговле, на «индикаторы, формируемые независимо от мировой цены нефти и нефтепродуктов». Серия подобных предложений опирается на существующую </w:t>
      </w:r>
      <w:proofErr w:type="gram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практику</w:t>
      </w:r>
      <w:proofErr w:type="gram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 в Северной Америке, так и в Европе. По мнению экспертов, там механизм формирования цен на газ иной – есть </w:t>
      </w:r>
      <w:proofErr w:type="spell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спотовый</w:t>
      </w:r>
      <w:proofErr w:type="spell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рынок, где цена газа образуется в условиях текущего баланса между спросом и предложением. </w:t>
      </w:r>
    </w:p>
    <w:p w:rsidR="00C41A05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 вот генеральный директор Института энергетической стратегии доктор технических наук Виталий Бушуев полагает, что крайне важным шагом стало соглашение о сотрудничестве между МИДом России и Союзом </w:t>
      </w:r>
      <w:proofErr w:type="spell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нефтегазопромышленников</w:t>
      </w:r>
      <w:proofErr w:type="spell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подписанное в Москве 21 мая. Это подписание стало результатом повышения требований к аналитической работе МИДа РФ на энергетическом направлении. </w:t>
      </w:r>
    </w:p>
    <w:p w:rsidR="00C41A05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 </w:t>
      </w: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Основной задачей деятельности Союза является создание благоприятных условий для эффективной работы нефтегазового комплекса России, его гармоничного развития в интересах стабилизации и процветания национальной экономики, – подчеркнул господин Бушуев. </w:t>
      </w:r>
    </w:p>
    <w:p w:rsidR="00C41A05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Корреспондент «ЭПР» обратилась к участнику слушаний </w:t>
      </w:r>
      <w:r w:rsidRPr="006A58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первому заместителю председателя Комитета по энергетике Государственной думы доктору экономических наук Василию Тарасюку</w:t>
      </w: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фото) с просьбой высказать свою позицию по этой проблеме. </w:t>
      </w:r>
    </w:p>
    <w:p w:rsidR="00C41A05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 </w:t>
      </w: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Откровенно говоря, – отметил господин Тарасюк, – такие научные названия, как </w:t>
      </w:r>
      <w:proofErr w:type="spell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нанотехнологии</w:t>
      </w:r>
      <w:proofErr w:type="spell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развитие </w:t>
      </w:r>
      <w:proofErr w:type="spell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биотоплива</w:t>
      </w:r>
      <w:proofErr w:type="spell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мне очень нравятся, но я, как бывший производственник, считаю, что нужно опираться </w:t>
      </w:r>
      <w:proofErr w:type="gram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те</w:t>
      </w:r>
      <w:proofErr w:type="gram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отрасли, которые имеют большой задел научных открытий в производстве и достаточно быстро захватят мировой рынок, смогут вывести Россию в двадцатку развитых стран мира. А к таким отраслям сейчас относятся энергетика, военно-промышленный комплекс, транспорт и средства связи. </w:t>
      </w:r>
    </w:p>
    <w:p w:rsidR="00C41A05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Россия, являясь крупнейшим мировым экспортером сырья, обладает уникальным преимуществом перед остальными экспортерами не только по объемам своих ресурсов, но и уникальным для страны-экспортера научно-техническим потенциалом. Именно это сочетание дает ей шанс перейти на путь инновационного развития, воспользовавшись переломным моментом в мировой экономике, стоящей на пороге глубоких технологических перемен. Почему я так говорю? ТЭК – огромное поле действия в развитии экономического производства, начиная от геологии, бурения, добычи, транспортировки, переработки, реализации и т. д. С этого комплекса возьмите только маленькую долю </w:t>
      </w:r>
      <w:proofErr w:type="spell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нефтегазодобычи</w:t>
      </w:r>
      <w:proofErr w:type="spell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там задействованы сотни технологических производственных комплексов России, от производства труб, кабеля, специального автотранспорта до кибернетически-электронных приборов. </w:t>
      </w:r>
    </w:p>
    <w:p w:rsidR="00C41A05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Своеобразной особенностью топливно-энергетического комплекса России является то, что он целиком базируется на российских технологиях производства и отечественных ресурсах, по запасам которых страна занимает одно из первых мест в мире. Но из</w:t>
      </w: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за бесконтрольности, отсутствия современных энергосберегающих технологий удельный расход энергии на единицу ВВП у нас в несколько раз выше, чем в развитых странах. Только одно это направление позволяет в перспективе высвободить до половины потребляемых в стране энергоресурсов для использования в качестве </w:t>
      </w:r>
      <w:proofErr w:type="spell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нефт</w:t>
      </w:r>
      <w:proofErr w:type="gram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proofErr w:type="spell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</w:t>
      </w:r>
      <w:proofErr w:type="spell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газохимического</w:t>
      </w:r>
      <w:proofErr w:type="spell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сырья. Прорыв в энергосбережении создаст огромную сырьевую базу для отечественной нефтегазохимии. </w:t>
      </w:r>
    </w:p>
    <w:p w:rsidR="00C41A05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Возьмем только природный газ. Из-за отсутствия соответствующих производств мы теряем большую часть таких ценнейших компонентов природного газа, как этан, пропан и бутан. Сейчас в России извлекается не более 7</w:t>
      </w: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noBreakHyphen/>
        <w:t xml:space="preserve">8 процентов этана и около 45 процентов </w:t>
      </w:r>
      <w:proofErr w:type="gram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пропан-бутанов</w:t>
      </w:r>
      <w:proofErr w:type="gram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 их содержания в добываемом газе. И даже в обозримом будущем, если мы не будем строить </w:t>
      </w:r>
      <w:proofErr w:type="spell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газохимическое</w:t>
      </w:r>
      <w:proofErr w:type="spell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производство, то радикального изменения ситуации не предвидится. При заметно большем объеме добычи природного газа объем производства легких углеводородных фракций в России в пять раз меньше, чем в США. Мы экспортируем на Запад природный газ с неоправданно высоким содержанием этана, пропана и бутана, предоставляя другим странам возможность извлекать выгоду из нашей технологической отсталости. </w:t>
      </w:r>
    </w:p>
    <w:p w:rsidR="00C41A05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имеем огромные наработки научно-технических производств в нефтегазохимии. Я не буду затрагивать переработку нефти, только отмечу, </w:t>
      </w:r>
      <w:proofErr w:type="gram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</w:t>
      </w:r>
      <w:proofErr w:type="gram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безусловно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 модернизировать отечественные нефтеперерабатывающие заводы. Хочу более подробно остановиться на внедрении принципиально новых высокотехнологичных </w:t>
      </w:r>
      <w:proofErr w:type="spell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газохимических</w:t>
      </w:r>
      <w:proofErr w:type="spell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процессов в районах добычи – это строительство мини-цехов переработки с использованием попутного газа, которые могут открыть перед отечественной газовой отраслью новые перспективы и сыграть огромную роль в экономическом развитии России. Во-первых, внедрение промысловых процессов конверсии углеводородных газов стимулирует проведение перспективных геологоразведочных работ, в том числе на нефть. Для их экономического обоснования требуются более привлекательные планы использования попутного газа, чем сжигание в факелах или повторная закачка в пласт, но для этого должны быть экономические стимулы. </w:t>
      </w:r>
    </w:p>
    <w:p w:rsidR="00C41A05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Во-вторых, тогда появится возможность перейти от экспорта сырья к экспорту более дорогостоящей химической продукции. </w:t>
      </w:r>
    </w:p>
    <w:p w:rsidR="00C41A05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В-третьих, появится возможность продлить период продуктивной эксплуатации низконапорных месторождений газа, доля которых в общем балансе постоянно растет, а также возможность вовлечь в эксплуатацию сотни </w:t>
      </w:r>
      <w:proofErr w:type="spellStart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малоресурсных</w:t>
      </w:r>
      <w:proofErr w:type="spellEnd"/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месторождений. Они до сих пор не разрабатываются по экономическим условиям. </w:t>
      </w:r>
    </w:p>
    <w:p w:rsidR="00C41A05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В-четвертых, внедрение малотоннажных установок по переработке углеводородных газов – наиболее эффективный и наименее затратный путь достижения Россией целей, предусмотренных условиями Киотского протокола. И это – развитие малого и среднего бизнеса. </w:t>
      </w:r>
    </w:p>
    <w:p w:rsidR="00C41A05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Сделав ставку на более глубокую и комплексную переработку природного газа, на увеличение в экспорте доли продуктов его переработки, Россия может значительно расширить свои позиции не только на рынке первичных энергоресурсов, но и гораздо более прибыльном рынке дорогостоящих химических продуктов и моторных топлив. </w:t>
      </w:r>
    </w:p>
    <w:p w:rsidR="00C41A05" w:rsidRPr="006A588C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Правительству, Министерству энергетики и нам, законодателям, нужно вырабатывать производственную стратегию новых идей, современных технологий. Создавать благоприятные условия для заинтересованности компаний в участии в технологических процессах, готовить новые законы для расширения заинтересованности в модернизации производства. Ставить первоочередные задачи перед главными отраслями, – резюмировал Тарасюк. </w:t>
      </w:r>
    </w:p>
    <w:p w:rsidR="00C41A05" w:rsidRPr="006A588C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1A05" w:rsidRPr="006A588C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Подготовила Вера ОЛЕЩУК</w:t>
      </w:r>
    </w:p>
    <w:p w:rsidR="00C41A05" w:rsidRPr="006A588C" w:rsidRDefault="00C41A05" w:rsidP="00C41A05">
      <w:pPr>
        <w:spacing w:after="0"/>
        <w:ind w:firstLine="42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58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41A05" w:rsidRPr="006A588C" w:rsidRDefault="00C41A05" w:rsidP="00C41A05">
      <w:pPr>
        <w:spacing w:after="0"/>
        <w:ind w:firstLine="426"/>
        <w:textAlignment w:val="baseline"/>
        <w:rPr>
          <w:sz w:val="24"/>
          <w:szCs w:val="24"/>
        </w:rPr>
      </w:pPr>
      <w:r w:rsidRPr="006A58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A588C">
        <w:rPr>
          <w:sz w:val="24"/>
          <w:szCs w:val="24"/>
        </w:rPr>
        <w:t xml:space="preserve"> </w:t>
      </w:r>
    </w:p>
    <w:p w:rsidR="003904E6" w:rsidRDefault="003904E6">
      <w:bookmarkStart w:id="0" w:name="_GoBack"/>
      <w:bookmarkEnd w:id="0"/>
    </w:p>
    <w:sectPr w:rsidR="003904E6" w:rsidSect="009A52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05"/>
    <w:rsid w:val="003904E6"/>
    <w:rsid w:val="00C4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05"/>
    <w:pPr>
      <w:spacing w:after="24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05"/>
    <w:pPr>
      <w:spacing w:after="24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russia.ru/epr/epr.cgi?epr=showcat&amp;num=201&amp;idcat=33" TargetMode="External"/><Relationship Id="rId5" Type="http://schemas.openxmlformats.org/officeDocument/2006/relationships/hyperlink" Target="http://www.eprussia.ru/epr/epr.cgi?num=2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2013-06-28T12:59:00Z</dcterms:created>
  <dcterms:modified xsi:type="dcterms:W3CDTF">2013-06-28T12:59:00Z</dcterms:modified>
</cp:coreProperties>
</file>